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sectPr>
          <w:headerReference r:id="rId3" w:type="default"/>
          <w:footerReference r:id="rId4" w:type="default"/>
          <w:pgSz w:w="11906" w:h="16838"/>
          <w:pgMar w:top="1440" w:right="1417" w:bottom="1440" w:left="1417" w:header="851" w:footer="992" w:gutter="0"/>
          <w:cols w:space="0" w:num="1"/>
          <w:rtlGutter w:val="0"/>
          <w:docGrid w:type="lines" w:linePitch="312" w:charSpace="0"/>
        </w:sectPr>
      </w:pPr>
      <w:r>
        <w:drawing>
          <wp:anchor distT="0" distB="0" distL="114300" distR="114300" simplePos="0" relativeHeight="251661312" behindDoc="0" locked="0" layoutInCell="1" allowOverlap="1">
            <wp:simplePos x="0" y="0"/>
            <wp:positionH relativeFrom="column">
              <wp:posOffset>-885825</wp:posOffset>
            </wp:positionH>
            <wp:positionV relativeFrom="paragraph">
              <wp:posOffset>-911225</wp:posOffset>
            </wp:positionV>
            <wp:extent cx="7564755" cy="10448925"/>
            <wp:effectExtent l="0" t="0" r="17145" b="9525"/>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6"/>
                    <a:stretch>
                      <a:fillRect/>
                    </a:stretch>
                  </pic:blipFill>
                  <pic:spPr>
                    <a:xfrm>
                      <a:off x="0" y="0"/>
                      <a:ext cx="7564755" cy="1044892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-629285</wp:posOffset>
                </wp:positionH>
                <wp:positionV relativeFrom="paragraph">
                  <wp:posOffset>8027035</wp:posOffset>
                </wp:positionV>
                <wp:extent cx="4400550" cy="1381125"/>
                <wp:effectExtent l="0" t="0" r="0" b="0"/>
                <wp:wrapNone/>
                <wp:docPr id="4" name="文本框 4"/>
                <wp:cNvGraphicFramePr/>
                <a:graphic xmlns:a="http://schemas.openxmlformats.org/drawingml/2006/main">
                  <a:graphicData uri="http://schemas.microsoft.com/office/word/2010/wordprocessingShape">
                    <wps:wsp>
                      <wps:cNvSpPr txBox="1"/>
                      <wps:spPr>
                        <a:xfrm>
                          <a:off x="689610" y="9017635"/>
                          <a:ext cx="4400550" cy="1381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招生咨询电话：0536-8785515</w:t>
                            </w:r>
                            <w:r>
                              <w:rPr>
                                <w:rFonts w:hint="eastAsia" w:ascii="方正黑体简体" w:hAnsi="方正黑体简体" w:eastAsia="方正黑体简体" w:cs="方正黑体简体"/>
                                <w:color w:val="FFFFFF" w:themeColor="background1"/>
                                <w:sz w:val="26"/>
                                <w:szCs w:val="26"/>
                                <w:lang w:val="en-US" w:eastAsia="zh-CN"/>
                                <w14:textFill>
                                  <w14:solidFill>
                                    <w14:schemeClr w14:val="bg1"/>
                                  </w14:solidFill>
                                </w14:textFill>
                              </w:rPr>
                              <w:t xml:space="preserve">  8785759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继续教育学院网址：http://jxjy.wfu.edu.cn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教务教学管理公共服务平台网址：http://wfxy.sdcen.cn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地址：潍坊市卧龙西街2829号（邮编261021）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5pt;margin-top:632.05pt;height:108.75pt;width:346.5pt;z-index:251660288;mso-width-relative:page;mso-height-relative:page;" filled="f" stroked="f" coordsize="21600,21600" o:gfxdata="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li4pjeAAAADQEAAA8AAAAA&#10;AAAAAQAgAAAAIgAAAGRycy9kb3ducmV2LnhtbFBLAQIUABQAAAAIAIdO4kA70CZcRwIAAHIEAAAO&#10;AAAAAAAAAAEAIAAAAC0BAABkcnMvZTJvRG9jLnhtbFBLBQYAAAAABgAGAFkBAADm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招生咨询电话：0536-8785515</w:t>
                      </w:r>
                      <w:r>
                        <w:rPr>
                          <w:rFonts w:hint="eastAsia" w:ascii="方正黑体简体" w:hAnsi="方正黑体简体" w:eastAsia="方正黑体简体" w:cs="方正黑体简体"/>
                          <w:color w:val="FFFFFF" w:themeColor="background1"/>
                          <w:sz w:val="26"/>
                          <w:szCs w:val="26"/>
                          <w:lang w:val="en-US" w:eastAsia="zh-CN"/>
                          <w14:textFill>
                            <w14:solidFill>
                              <w14:schemeClr w14:val="bg1"/>
                            </w14:solidFill>
                          </w14:textFill>
                        </w:rPr>
                        <w:t xml:space="preserve">  8785759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继续教育学院网址：http://jxjy.wfu.edu.cn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教务教学管理公共服务平台网址：http://wfxy.sdcen.cn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黑体简体" w:hAnsi="方正黑体简体" w:eastAsia="方正黑体简体" w:cs="方正黑体简体"/>
                          <w:color w:val="FFFFFF" w:themeColor="background1"/>
                          <w:sz w:val="26"/>
                          <w:szCs w:val="26"/>
                          <w14:textFill>
                            <w14:solidFill>
                              <w14:schemeClr w14:val="bg1"/>
                            </w14:solidFill>
                          </w14:textFill>
                        </w:rPr>
                      </w:pPr>
                      <w:r>
                        <w:rPr>
                          <w:rFonts w:hint="eastAsia" w:ascii="方正黑体简体" w:hAnsi="方正黑体简体" w:eastAsia="方正黑体简体" w:cs="方正黑体简体"/>
                          <w:color w:val="FFFFFF" w:themeColor="background1"/>
                          <w:sz w:val="26"/>
                          <w:szCs w:val="26"/>
                          <w14:textFill>
                            <w14:solidFill>
                              <w14:schemeClr w14:val="bg1"/>
                            </w14:solidFill>
                          </w14:textFill>
                        </w:rPr>
                        <w:t>地址：潍坊市卧龙西街2829号（邮编261021）</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202</w:t>
      </w:r>
      <w:r>
        <w:rPr>
          <w:rFonts w:hint="eastAsia" w:ascii="仿宋" w:hAnsi="仿宋" w:eastAsia="仿宋" w:cs="仿宋"/>
          <w:sz w:val="22"/>
          <w:szCs w:val="22"/>
          <w:lang w:val="en-US" w:eastAsia="zh-CN"/>
        </w:rPr>
        <w:t>4</w:t>
      </w:r>
      <w:r>
        <w:rPr>
          <w:rFonts w:hint="eastAsia" w:ascii="仿宋" w:hAnsi="仿宋" w:eastAsia="仿宋" w:cs="仿宋"/>
          <w:sz w:val="22"/>
          <w:szCs w:val="22"/>
        </w:rPr>
        <w:t>年潍坊学院继续举办成人教育，现面向社会发布202</w:t>
      </w:r>
      <w:r>
        <w:rPr>
          <w:rFonts w:hint="eastAsia" w:ascii="仿宋" w:hAnsi="仿宋" w:eastAsia="仿宋" w:cs="仿宋"/>
          <w:sz w:val="22"/>
          <w:szCs w:val="22"/>
          <w:lang w:val="en-US" w:eastAsia="zh-CN"/>
        </w:rPr>
        <w:t>4</w:t>
      </w:r>
      <w:r>
        <w:rPr>
          <w:rFonts w:hint="eastAsia" w:ascii="仿宋" w:hAnsi="仿宋" w:eastAsia="仿宋" w:cs="仿宋"/>
          <w:sz w:val="22"/>
          <w:szCs w:val="22"/>
        </w:rPr>
        <w:t>年招生简章。</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方正黑体简体" w:hAnsi="方正黑体简体" w:eastAsia="方正黑体简体" w:cs="方正黑体简体"/>
          <w:color w:val="C00000"/>
          <w:sz w:val="22"/>
          <w:szCs w:val="22"/>
        </w:rPr>
      </w:pPr>
      <w:r>
        <w:rPr>
          <w:rFonts w:hint="eastAsia" w:ascii="方正黑体简体" w:hAnsi="方正黑体简体" w:eastAsia="方正黑体简体" w:cs="方正黑体简体"/>
          <w:color w:val="C00000"/>
          <w:sz w:val="22"/>
          <w:szCs w:val="22"/>
        </w:rPr>
        <w:t>一、报考须知</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楷体_GB2312" w:hAnsi="楷体_GB2312" w:eastAsia="楷体_GB2312" w:cs="楷体_GB2312"/>
          <w:color w:val="C00000"/>
          <w:sz w:val="22"/>
          <w:szCs w:val="22"/>
        </w:rPr>
      </w:pPr>
      <w:r>
        <w:rPr>
          <w:rFonts w:hint="eastAsia" w:ascii="楷体_GB2312" w:hAnsi="楷体_GB2312" w:eastAsia="楷体_GB2312" w:cs="楷体_GB2312"/>
          <w:color w:val="C00000"/>
          <w:sz w:val="22"/>
          <w:szCs w:val="22"/>
        </w:rPr>
        <w:t>（一）报考条件</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报考高中起点专科、本科考生必须取得高级中等教育学校毕业证书或具有同等学力。报考专科起点本科考生必须取得经教育部审定核准的国民教育系列高等学校、高等教育自学考试机构颁发的专科毕业证书、本科结业证书或以上证书的人员（学信网可查）。</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楷体_GB2312" w:hAnsi="楷体_GB2312" w:eastAsia="楷体_GB2312" w:cs="楷体_GB2312"/>
          <w:color w:val="C00000"/>
          <w:sz w:val="22"/>
          <w:szCs w:val="22"/>
        </w:rPr>
      </w:pPr>
      <w:r>
        <w:rPr>
          <w:rFonts w:hint="eastAsia" w:ascii="楷体_GB2312" w:hAnsi="楷体_GB2312" w:eastAsia="楷体_GB2312" w:cs="楷体_GB2312"/>
          <w:color w:val="C00000"/>
          <w:sz w:val="22"/>
          <w:szCs w:val="22"/>
        </w:rPr>
        <w:t>（二）报名及</w:t>
      </w:r>
      <w:r>
        <w:rPr>
          <w:rFonts w:hint="eastAsia" w:ascii="楷体_GB2312" w:hAnsi="楷体_GB2312" w:eastAsia="楷体_GB2312" w:cs="楷体_GB2312"/>
          <w:color w:val="C00000"/>
          <w:sz w:val="22"/>
          <w:szCs w:val="22"/>
          <w:lang w:eastAsia="zh-CN"/>
        </w:rPr>
        <w:t>入学</w:t>
      </w:r>
      <w:r>
        <w:rPr>
          <w:rFonts w:hint="eastAsia" w:ascii="楷体_GB2312" w:hAnsi="楷体_GB2312" w:eastAsia="楷体_GB2312" w:cs="楷体_GB2312"/>
          <w:color w:val="C00000"/>
          <w:sz w:val="22"/>
          <w:szCs w:val="22"/>
        </w:rPr>
        <w:t xml:space="preserve">考试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sz w:val="22"/>
          <w:szCs w:val="22"/>
        </w:rPr>
        <w:drawing>
          <wp:anchor distT="0" distB="0" distL="114300" distR="114300" simplePos="0" relativeHeight="251662336" behindDoc="0" locked="0" layoutInCell="1" allowOverlap="1">
            <wp:simplePos x="0" y="0"/>
            <wp:positionH relativeFrom="column">
              <wp:posOffset>3105150</wp:posOffset>
            </wp:positionH>
            <wp:positionV relativeFrom="paragraph">
              <wp:posOffset>1056640</wp:posOffset>
            </wp:positionV>
            <wp:extent cx="2847975" cy="1200150"/>
            <wp:effectExtent l="0" t="0" r="9525"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847975" cy="1200150"/>
                    </a:xfrm>
                    <a:prstGeom prst="rect">
                      <a:avLst/>
                    </a:prstGeom>
                    <a:noFill/>
                    <a:ln>
                      <a:noFill/>
                    </a:ln>
                  </pic:spPr>
                </pic:pic>
              </a:graphicData>
            </a:graphic>
          </wp:anchor>
        </w:drawing>
      </w:r>
      <w:r>
        <w:rPr>
          <w:rFonts w:hint="eastAsia" w:ascii="仿宋" w:hAnsi="仿宋" w:eastAsia="仿宋" w:cs="仿宋"/>
          <w:sz w:val="22"/>
          <w:szCs w:val="22"/>
        </w:rPr>
        <w:t>招生简章发布之日起可到潍坊学院继续教育学院及各</w:t>
      </w:r>
      <w:r>
        <w:rPr>
          <w:rFonts w:hint="eastAsia" w:ascii="仿宋" w:hAnsi="仿宋" w:eastAsia="仿宋" w:cs="仿宋"/>
          <w:sz w:val="22"/>
          <w:szCs w:val="22"/>
          <w:lang w:eastAsia="zh-CN"/>
        </w:rPr>
        <w:t>教学点</w:t>
      </w:r>
      <w:r>
        <w:rPr>
          <w:rFonts w:hint="eastAsia" w:ascii="仿宋" w:hAnsi="仿宋" w:eastAsia="仿宋" w:cs="仿宋"/>
          <w:sz w:val="22"/>
          <w:szCs w:val="22"/>
        </w:rPr>
        <w:t>咨询预报名。8月下旬（以当年省级招生主管部门官网通知为准）登录山东省教育招生考试院网站（http://www.sdzk.cn）正式报名（潍坊学院学校代码：11067</w:t>
      </w:r>
      <w:r>
        <w:rPr>
          <w:rFonts w:hint="eastAsia" w:ascii="仿宋" w:hAnsi="仿宋" w:eastAsia="仿宋" w:cs="仿宋"/>
          <w:sz w:val="22"/>
          <w:szCs w:val="22"/>
          <w:lang w:eastAsia="zh-CN"/>
        </w:rPr>
        <w:t>，专升本需上传前置学历材料</w:t>
      </w:r>
      <w:r>
        <w:rPr>
          <w:rFonts w:hint="eastAsia" w:ascii="仿宋" w:hAnsi="仿宋" w:eastAsia="仿宋" w:cs="仿宋"/>
          <w:sz w:val="22"/>
          <w:szCs w:val="22"/>
        </w:rPr>
        <w:t>），并</w:t>
      </w:r>
      <w:r>
        <w:rPr>
          <w:rFonts w:hint="eastAsia" w:ascii="仿宋" w:hAnsi="仿宋" w:eastAsia="仿宋" w:cs="仿宋"/>
          <w:sz w:val="22"/>
          <w:szCs w:val="22"/>
          <w:lang w:eastAsia="zh-CN"/>
        </w:rPr>
        <w:t>按</w:t>
      </w:r>
      <w:r>
        <w:rPr>
          <w:rFonts w:hint="eastAsia" w:ascii="仿宋" w:hAnsi="仿宋" w:eastAsia="仿宋" w:cs="仿宋"/>
          <w:sz w:val="22"/>
          <w:szCs w:val="22"/>
        </w:rPr>
        <w:t>规定</w:t>
      </w:r>
      <w:r>
        <w:rPr>
          <w:rFonts w:hint="eastAsia" w:ascii="仿宋" w:hAnsi="仿宋" w:eastAsia="仿宋" w:cs="仿宋"/>
          <w:sz w:val="22"/>
          <w:szCs w:val="22"/>
          <w:lang w:eastAsia="zh-CN"/>
        </w:rPr>
        <w:t>时间和要求</w:t>
      </w:r>
      <w:r>
        <w:rPr>
          <w:rFonts w:hint="eastAsia" w:ascii="仿宋" w:hAnsi="仿宋" w:eastAsia="仿宋" w:cs="仿宋"/>
          <w:sz w:val="22"/>
          <w:szCs w:val="22"/>
        </w:rPr>
        <w:t>进行信息确认，信息确认后考生自行网上缴纳报名考试费并打印准考证。10月下旬参加全国统一成人高等教育招生入学考试。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楷体_GB2312" w:hAnsi="楷体_GB2312" w:eastAsia="楷体_GB2312" w:cs="楷体_GB2312"/>
          <w:color w:val="C00000"/>
          <w:sz w:val="22"/>
          <w:szCs w:val="22"/>
        </w:rPr>
      </w:pPr>
      <w:r>
        <w:rPr>
          <w:rFonts w:hint="eastAsia" w:ascii="楷体_GB2312" w:hAnsi="楷体_GB2312" w:eastAsia="楷体_GB2312" w:cs="楷体_GB2312"/>
          <w:color w:val="C00000"/>
          <w:sz w:val="22"/>
          <w:szCs w:val="22"/>
        </w:rPr>
        <w:t>（三）录取及毕业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学校根据</w:t>
      </w:r>
      <w:r>
        <w:rPr>
          <w:rFonts w:hint="eastAsia" w:ascii="仿宋" w:hAnsi="仿宋" w:eastAsia="仿宋" w:cs="仿宋"/>
          <w:sz w:val="22"/>
          <w:szCs w:val="22"/>
          <w:lang w:eastAsia="zh-CN"/>
        </w:rPr>
        <w:t>各层次各</w:t>
      </w:r>
      <w:r>
        <w:rPr>
          <w:rFonts w:hint="eastAsia" w:ascii="仿宋" w:hAnsi="仿宋" w:eastAsia="仿宋" w:cs="仿宋"/>
          <w:sz w:val="22"/>
          <w:szCs w:val="22"/>
        </w:rPr>
        <w:t>专业</w:t>
      </w:r>
      <w:r>
        <w:rPr>
          <w:rFonts w:hint="eastAsia" w:ascii="仿宋" w:hAnsi="仿宋" w:eastAsia="仿宋" w:cs="仿宋"/>
          <w:sz w:val="22"/>
          <w:szCs w:val="22"/>
          <w:lang w:eastAsia="zh-CN"/>
        </w:rPr>
        <w:t>实际</w:t>
      </w:r>
      <w:r>
        <w:rPr>
          <w:rFonts w:hint="eastAsia" w:ascii="仿宋" w:hAnsi="仿宋" w:eastAsia="仿宋" w:cs="仿宋"/>
          <w:sz w:val="22"/>
          <w:szCs w:val="22"/>
        </w:rPr>
        <w:t>报考人数，在省录取控制线上择优录取，并发放录取通知书。学生学习期满，按教学计划修完全部课程，成绩合格，颁发由教育部电子注册的成人高等教育毕业证书。符合条件的本科毕业生</w:t>
      </w:r>
      <w:r>
        <w:rPr>
          <w:rFonts w:hint="eastAsia" w:ascii="仿宋" w:hAnsi="仿宋" w:eastAsia="仿宋" w:cs="仿宋"/>
          <w:sz w:val="22"/>
          <w:szCs w:val="22"/>
          <w:lang w:eastAsia="zh-CN"/>
        </w:rPr>
        <w:t>可申请</w:t>
      </w:r>
      <w:r>
        <w:rPr>
          <w:rFonts w:hint="eastAsia" w:ascii="仿宋" w:hAnsi="仿宋" w:eastAsia="仿宋" w:cs="仿宋"/>
          <w:sz w:val="22"/>
          <w:szCs w:val="22"/>
        </w:rPr>
        <w:t>授予成人高等教育学士学位。</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楷体_GB2312" w:hAnsi="楷体_GB2312" w:eastAsia="楷体_GB2312" w:cs="楷体_GB2312"/>
          <w:color w:val="C00000"/>
          <w:sz w:val="22"/>
          <w:szCs w:val="22"/>
        </w:rPr>
      </w:pPr>
      <w:r>
        <w:rPr>
          <w:rFonts w:hint="eastAsia" w:ascii="楷体_GB2312" w:hAnsi="楷体_GB2312" w:eastAsia="楷体_GB2312" w:cs="楷体_GB2312"/>
          <w:color w:val="C00000"/>
          <w:sz w:val="22"/>
          <w:szCs w:val="22"/>
        </w:rPr>
        <w:t>（四）学习方式及收费标准</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采取线上、线下自主学习和集中面授相结合的方式组织学习。学生通过学校继续教育学院教务教学管理公共服务平台进行学习；学期末（寒暑假），在相应函授站集中面授辅导与考试。</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严格按照省物价局、省财政厅、省教育厅主管部门核定的各专业收费标准收取学费；学费按学年收取；学生在</w:t>
      </w:r>
      <w:r>
        <w:rPr>
          <w:rFonts w:hint="eastAsia" w:ascii="仿宋" w:hAnsi="仿宋" w:eastAsia="仿宋" w:cs="仿宋"/>
          <w:sz w:val="22"/>
          <w:szCs w:val="22"/>
          <w:lang w:eastAsia="zh-CN"/>
        </w:rPr>
        <w:t>每年</w:t>
      </w:r>
      <w:r>
        <w:rPr>
          <w:rFonts w:hint="eastAsia" w:ascii="仿宋" w:hAnsi="仿宋" w:eastAsia="仿宋" w:cs="仿宋"/>
          <w:sz w:val="22"/>
          <w:szCs w:val="22"/>
        </w:rPr>
        <w:t>交纳当学年学费</w:t>
      </w:r>
      <w:r>
        <w:rPr>
          <w:rFonts w:hint="eastAsia" w:ascii="仿宋" w:hAnsi="仿宋" w:eastAsia="仿宋" w:cs="仿宋"/>
          <w:sz w:val="22"/>
          <w:szCs w:val="22"/>
          <w:lang w:eastAsia="zh-CN"/>
        </w:rPr>
        <w:t>后进行</w:t>
      </w:r>
      <w:r>
        <w:rPr>
          <w:rFonts w:hint="eastAsia" w:ascii="仿宋" w:hAnsi="仿宋" w:eastAsia="仿宋" w:cs="仿宋"/>
          <w:sz w:val="22"/>
          <w:szCs w:val="22"/>
        </w:rPr>
        <w:t>学籍注册。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方正黑体简体" w:hAnsi="方正黑体简体" w:eastAsia="方正黑体简体" w:cs="方正黑体简体"/>
          <w:color w:val="C00000"/>
          <w:sz w:val="22"/>
          <w:szCs w:val="22"/>
        </w:rPr>
      </w:pPr>
      <w:r>
        <w:rPr>
          <w:rFonts w:hint="eastAsia" w:ascii="方正黑体简体" w:hAnsi="方正黑体简体" w:eastAsia="方正黑体简体" w:cs="方正黑体简体"/>
          <w:color w:val="C00000"/>
          <w:sz w:val="22"/>
          <w:szCs w:val="22"/>
        </w:rPr>
        <w:t>特别提示：</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color w:val="C00000"/>
          <w:sz w:val="22"/>
          <w:szCs w:val="22"/>
        </w:rPr>
      </w:pPr>
      <w:r>
        <w:rPr>
          <w:rFonts w:hint="eastAsia" w:ascii="仿宋" w:hAnsi="仿宋" w:eastAsia="仿宋" w:cs="仿宋"/>
          <w:color w:val="C00000"/>
          <w:sz w:val="22"/>
          <w:szCs w:val="22"/>
        </w:rPr>
        <w:t>新生录取后及时到继续教育学院http://jxjy.wfu.edu.cn官网查看《入学须知》、《缴费通知》等公告通知，未按时、按规定缴纳学费视为自</w:t>
      </w:r>
      <w:r>
        <w:rPr>
          <w:rFonts w:hint="eastAsia" w:ascii="仿宋" w:hAnsi="仿宋" w:eastAsia="仿宋" w:cs="仿宋"/>
          <w:color w:val="C00000"/>
          <w:sz w:val="22"/>
          <w:szCs w:val="22"/>
          <w:lang w:eastAsia="zh-CN"/>
        </w:rPr>
        <w:t>动</w:t>
      </w:r>
      <w:r>
        <w:rPr>
          <w:rFonts w:hint="eastAsia" w:ascii="仿宋" w:hAnsi="仿宋" w:eastAsia="仿宋" w:cs="仿宋"/>
          <w:color w:val="C00000"/>
          <w:sz w:val="22"/>
          <w:szCs w:val="22"/>
        </w:rPr>
        <w:t>放弃入学资格</w:t>
      </w:r>
      <w:r>
        <w:rPr>
          <w:rFonts w:hint="eastAsia" w:ascii="仿宋" w:hAnsi="仿宋" w:eastAsia="仿宋" w:cs="仿宋"/>
          <w:color w:val="C00000"/>
          <w:sz w:val="22"/>
          <w:szCs w:val="22"/>
          <w:lang w:eastAsia="zh-CN"/>
        </w:rPr>
        <w:t>不予注册学籍</w:t>
      </w:r>
      <w:r>
        <w:rPr>
          <w:rFonts w:hint="eastAsia" w:ascii="仿宋" w:hAnsi="仿宋" w:eastAsia="仿宋" w:cs="仿宋"/>
          <w:color w:val="C00000"/>
          <w:sz w:val="22"/>
          <w:szCs w:val="22"/>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方正黑体简体" w:hAnsi="方正黑体简体" w:eastAsia="方正黑体简体" w:cs="方正黑体简体"/>
          <w:color w:val="C00000"/>
          <w:sz w:val="22"/>
          <w:szCs w:val="22"/>
        </w:rPr>
      </w:pPr>
      <w:r>
        <w:rPr>
          <w:color w:val="C00000"/>
        </w:rPr>
        <w:drawing>
          <wp:anchor distT="0" distB="0" distL="114300" distR="114300" simplePos="0" relativeHeight="251663360" behindDoc="0" locked="0" layoutInCell="1" allowOverlap="1">
            <wp:simplePos x="0" y="0"/>
            <wp:positionH relativeFrom="column">
              <wp:posOffset>2477770</wp:posOffset>
            </wp:positionH>
            <wp:positionV relativeFrom="paragraph">
              <wp:posOffset>147320</wp:posOffset>
            </wp:positionV>
            <wp:extent cx="3281045" cy="2353310"/>
            <wp:effectExtent l="0" t="0" r="14605" b="889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rcRect l="6409" r="2697"/>
                    <a:stretch>
                      <a:fillRect/>
                    </a:stretch>
                  </pic:blipFill>
                  <pic:spPr>
                    <a:xfrm>
                      <a:off x="0" y="0"/>
                      <a:ext cx="3281045" cy="2353310"/>
                    </a:xfrm>
                    <a:prstGeom prst="rect">
                      <a:avLst/>
                    </a:prstGeom>
                    <a:noFill/>
                    <a:ln>
                      <a:noFill/>
                    </a:ln>
                  </pic:spPr>
                </pic:pic>
              </a:graphicData>
            </a:graphic>
          </wp:anchor>
        </w:drawing>
      </w:r>
      <w:r>
        <w:rPr>
          <w:rFonts w:hint="eastAsia" w:ascii="方正黑体简体" w:hAnsi="方正黑体简体" w:eastAsia="方正黑体简体" w:cs="方正黑体简体"/>
          <w:color w:val="C00000"/>
          <w:sz w:val="22"/>
          <w:szCs w:val="22"/>
        </w:rPr>
        <w:t>二、办学优势</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学校举办成人高等教育历史悠久，创办函授教育已有40余年历史，具有先进的办学理念、丰富的办学经验。</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拥有可用于成人教育的雄厚师资队伍，优秀管理团队，完善工作体系，强大资源支持。   </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突出成人学习特点，采取人性化管理模式，主要采用网上平台授课模式，有效解决工学矛盾。</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满足跨专业培养，满足多元化知识需求，除就读专业课程外，学生可自主申请学习其它专业相关课程。</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以素质提升为导向，以学生为中心，促进同行业交流，提高社交关系需求。</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简体" w:hAnsi="方正黑体简体" w:eastAsia="方正黑体简体" w:cs="方正黑体简体"/>
          <w:color w:val="C00000"/>
          <w:sz w:val="28"/>
          <w:szCs w:val="28"/>
        </w:rPr>
      </w:pPr>
      <w:r>
        <w:rPr>
          <w:rFonts w:hint="eastAsia" w:ascii="方正黑体简体" w:hAnsi="方正黑体简体" w:eastAsia="方正黑体简体" w:cs="方正黑体简体"/>
          <w:color w:val="C00000"/>
          <w:sz w:val="28"/>
          <w:szCs w:val="28"/>
        </w:rPr>
        <w:t>三、招生专业</w:t>
      </w:r>
    </w:p>
    <w:p>
      <w:pPr>
        <w:spacing w:line="480" w:lineRule="exact"/>
        <w:jc w:val="center"/>
        <w:rPr>
          <w:rFonts w:hint="eastAsia" w:ascii="黑体" w:hAnsi="黑体" w:eastAsia="黑体" w:cs="黑体"/>
          <w:b/>
          <w:bCs/>
          <w:color w:val="302F2F"/>
          <w:kern w:val="0"/>
          <w:sz w:val="28"/>
          <w:szCs w:val="28"/>
        </w:rPr>
      </w:pPr>
      <w:r>
        <w:rPr>
          <w:rFonts w:hint="eastAsia" w:ascii="黑体" w:hAnsi="黑体" w:eastAsia="黑体" w:cs="黑体"/>
          <w:b/>
          <w:bCs/>
          <w:color w:val="302F2F"/>
          <w:kern w:val="0"/>
          <w:sz w:val="28"/>
          <w:szCs w:val="28"/>
        </w:rPr>
        <w:t>专升本（学制2.5年）</w:t>
      </w:r>
    </w:p>
    <w:tbl>
      <w:tblPr>
        <w:tblStyle w:val="6"/>
        <w:tblW w:w="9688" w:type="dxa"/>
        <w:jc w:val="center"/>
        <w:tblLayout w:type="fixed"/>
        <w:tblCellMar>
          <w:top w:w="15" w:type="dxa"/>
          <w:left w:w="15" w:type="dxa"/>
          <w:bottom w:w="15" w:type="dxa"/>
          <w:right w:w="15" w:type="dxa"/>
        </w:tblCellMar>
      </w:tblPr>
      <w:tblGrid>
        <w:gridCol w:w="747"/>
        <w:gridCol w:w="3331"/>
        <w:gridCol w:w="1320"/>
        <w:gridCol w:w="1215"/>
        <w:gridCol w:w="3075"/>
      </w:tblGrid>
      <w:tr>
        <w:tblPrEx>
          <w:tblCellMar>
            <w:top w:w="15" w:type="dxa"/>
            <w:left w:w="15" w:type="dxa"/>
            <w:bottom w:w="15" w:type="dxa"/>
            <w:right w:w="15" w:type="dxa"/>
          </w:tblCellMar>
        </w:tblPrEx>
        <w:trPr>
          <w:trHeight w:val="340" w:hRule="atLeast"/>
          <w:jc w:val="center"/>
        </w:trPr>
        <w:tc>
          <w:tcPr>
            <w:tcW w:w="747"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序号</w:t>
            </w:r>
          </w:p>
        </w:tc>
        <w:tc>
          <w:tcPr>
            <w:tcW w:w="3331"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专业名称</w:t>
            </w:r>
          </w:p>
        </w:tc>
        <w:tc>
          <w:tcPr>
            <w:tcW w:w="1320"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学费</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（元/年）</w:t>
            </w:r>
          </w:p>
        </w:tc>
        <w:tc>
          <w:tcPr>
            <w:tcW w:w="121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招生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科类</w:t>
            </w:r>
          </w:p>
        </w:tc>
        <w:tc>
          <w:tcPr>
            <w:tcW w:w="307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入学统考科目</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汉语言文学</w:t>
            </w:r>
          </w:p>
        </w:tc>
        <w:tc>
          <w:tcPr>
            <w:tcW w:w="1320"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lang w:val="en-US" w:eastAsia="zh-CN"/>
              </w:rPr>
              <w:t>2600</w:t>
            </w:r>
          </w:p>
        </w:tc>
        <w:tc>
          <w:tcPr>
            <w:tcW w:w="121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文史类</w:t>
            </w:r>
          </w:p>
        </w:tc>
        <w:tc>
          <w:tcPr>
            <w:tcW w:w="307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政治、外语、大学语文</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2</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数学与应用数学</w:t>
            </w:r>
          </w:p>
        </w:tc>
        <w:tc>
          <w:tcPr>
            <w:tcW w:w="1320"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理工类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政治、外语、高数（一）</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3</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机械设计制造及其自动化</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4</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电子信息工程</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5</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计算机科学与技术</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6</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土木工程</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7</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车辆工程</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8</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化学工程与工艺</w:t>
            </w:r>
          </w:p>
        </w:tc>
        <w:tc>
          <w:tcPr>
            <w:tcW w:w="1320"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9</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工程管理</w:t>
            </w:r>
          </w:p>
        </w:tc>
        <w:tc>
          <w:tcPr>
            <w:tcW w:w="1320"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经管类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政治、外语、高数（二）</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10</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市场营销</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11</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会计学</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12</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经济与金融</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13</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行政管理</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14</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应用心理学</w:t>
            </w:r>
          </w:p>
        </w:tc>
        <w:tc>
          <w:tcPr>
            <w:tcW w:w="1320"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15</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法学</w:t>
            </w:r>
          </w:p>
        </w:tc>
        <w:tc>
          <w:tcPr>
            <w:tcW w:w="1320"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21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法学类</w:t>
            </w:r>
          </w:p>
        </w:tc>
        <w:tc>
          <w:tcPr>
            <w:tcW w:w="3075"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政治、外语、民法</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16</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小学教育</w:t>
            </w:r>
          </w:p>
        </w:tc>
        <w:tc>
          <w:tcPr>
            <w:tcW w:w="1320"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21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教育学类</w:t>
            </w:r>
          </w:p>
        </w:tc>
        <w:tc>
          <w:tcPr>
            <w:tcW w:w="3075" w:type="dxa"/>
            <w:vMerge w:val="restart"/>
            <w:tcBorders>
              <w:top w:val="nil"/>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政治、外语、教育理论</w:t>
            </w: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17</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学前教育</w:t>
            </w:r>
          </w:p>
        </w:tc>
        <w:tc>
          <w:tcPr>
            <w:tcW w:w="1320"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18</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特殊教育</w:t>
            </w:r>
          </w:p>
        </w:tc>
        <w:tc>
          <w:tcPr>
            <w:tcW w:w="1320"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p>
        </w:tc>
        <w:tc>
          <w:tcPr>
            <w:tcW w:w="121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c>
          <w:tcPr>
            <w:tcW w:w="3075" w:type="dxa"/>
            <w:vMerge w:val="continue"/>
            <w:tcBorders>
              <w:left w:val="nil"/>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47"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19</w:t>
            </w:r>
          </w:p>
        </w:tc>
        <w:tc>
          <w:tcPr>
            <w:tcW w:w="3331"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体育教育</w:t>
            </w:r>
          </w:p>
        </w:tc>
        <w:tc>
          <w:tcPr>
            <w:tcW w:w="1320" w:type="dxa"/>
            <w:tcBorders>
              <w:top w:val="nil"/>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21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c>
          <w:tcPr>
            <w:tcW w:w="307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302F2F"/>
                <w:kern w:val="0"/>
                <w:sz w:val="22"/>
                <w:szCs w:val="22"/>
              </w:rPr>
            </w:pPr>
          </w:p>
        </w:tc>
      </w:tr>
    </w:tbl>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黑体" w:hAnsi="黑体" w:eastAsia="黑体" w:cs="黑体"/>
          <w:b/>
          <w:bCs/>
          <w:color w:val="302F2F"/>
          <w:kern w:val="0"/>
          <w:sz w:val="28"/>
          <w:szCs w:val="28"/>
        </w:rPr>
      </w:pPr>
      <w:r>
        <w:rPr>
          <w:rFonts w:hint="eastAsia" w:ascii="黑体" w:hAnsi="黑体" w:eastAsia="黑体" w:cs="黑体"/>
          <w:b/>
          <w:bCs/>
          <w:color w:val="302F2F"/>
          <w:kern w:val="0"/>
          <w:sz w:val="28"/>
          <w:szCs w:val="28"/>
        </w:rPr>
        <w:t>高起本（学制5年）</w:t>
      </w:r>
    </w:p>
    <w:tbl>
      <w:tblPr>
        <w:tblStyle w:val="6"/>
        <w:tblW w:w="9454" w:type="dxa"/>
        <w:jc w:val="center"/>
        <w:tblLayout w:type="fixed"/>
        <w:tblCellMar>
          <w:top w:w="15" w:type="dxa"/>
          <w:left w:w="15" w:type="dxa"/>
          <w:bottom w:w="15" w:type="dxa"/>
          <w:right w:w="15" w:type="dxa"/>
        </w:tblCellMar>
      </w:tblPr>
      <w:tblGrid>
        <w:gridCol w:w="705"/>
        <w:gridCol w:w="1840"/>
        <w:gridCol w:w="2265"/>
        <w:gridCol w:w="1509"/>
        <w:gridCol w:w="3135"/>
      </w:tblGrid>
      <w:tr>
        <w:tblPrEx>
          <w:tblCellMar>
            <w:top w:w="15" w:type="dxa"/>
            <w:left w:w="15" w:type="dxa"/>
            <w:bottom w:w="15" w:type="dxa"/>
            <w:right w:w="15" w:type="dxa"/>
          </w:tblCellMar>
        </w:tblPrEx>
        <w:trPr>
          <w:trHeight w:val="340" w:hRule="atLeast"/>
          <w:jc w:val="center"/>
        </w:trPr>
        <w:tc>
          <w:tcPr>
            <w:tcW w:w="705"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b/>
                <w:bCs/>
                <w:color w:val="302F2F"/>
                <w:kern w:val="0"/>
                <w:sz w:val="22"/>
                <w:szCs w:val="22"/>
              </w:rPr>
            </w:pPr>
            <w:r>
              <w:rPr>
                <w:rFonts w:hint="eastAsia" w:ascii="仿宋" w:hAnsi="仿宋" w:eastAsia="仿宋" w:cs="仿宋"/>
                <w:b/>
                <w:bCs/>
                <w:color w:val="302F2F"/>
                <w:kern w:val="0"/>
                <w:sz w:val="22"/>
                <w:szCs w:val="22"/>
              </w:rPr>
              <w:t>序号</w:t>
            </w:r>
          </w:p>
        </w:tc>
        <w:tc>
          <w:tcPr>
            <w:tcW w:w="1840"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b/>
                <w:bCs/>
                <w:color w:val="302F2F"/>
                <w:kern w:val="0"/>
                <w:sz w:val="22"/>
                <w:szCs w:val="22"/>
              </w:rPr>
            </w:pPr>
            <w:r>
              <w:rPr>
                <w:rFonts w:hint="eastAsia" w:ascii="仿宋" w:hAnsi="仿宋" w:eastAsia="仿宋" w:cs="仿宋"/>
                <w:b/>
                <w:bCs/>
                <w:color w:val="302F2F"/>
                <w:kern w:val="0"/>
                <w:sz w:val="22"/>
                <w:szCs w:val="22"/>
              </w:rPr>
              <w:t>专业名称</w:t>
            </w:r>
          </w:p>
        </w:tc>
        <w:tc>
          <w:tcPr>
            <w:tcW w:w="226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b/>
                <w:bCs/>
                <w:color w:val="302F2F"/>
                <w:kern w:val="0"/>
                <w:sz w:val="22"/>
                <w:szCs w:val="22"/>
              </w:rPr>
            </w:pPr>
            <w:r>
              <w:rPr>
                <w:rFonts w:hint="eastAsia" w:ascii="仿宋" w:hAnsi="仿宋" w:eastAsia="仿宋" w:cs="仿宋"/>
                <w:b/>
                <w:bCs/>
                <w:color w:val="302F2F"/>
                <w:kern w:val="0"/>
                <w:sz w:val="22"/>
                <w:szCs w:val="22"/>
              </w:rPr>
              <w:t>学费标准（元/年）</w:t>
            </w:r>
          </w:p>
        </w:tc>
        <w:tc>
          <w:tcPr>
            <w:tcW w:w="1509"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b/>
                <w:bCs/>
                <w:color w:val="302F2F"/>
                <w:kern w:val="0"/>
                <w:sz w:val="22"/>
                <w:szCs w:val="22"/>
              </w:rPr>
            </w:pPr>
            <w:r>
              <w:rPr>
                <w:rFonts w:hint="eastAsia" w:ascii="仿宋" w:hAnsi="仿宋" w:eastAsia="仿宋" w:cs="仿宋"/>
                <w:b/>
                <w:bCs/>
                <w:color w:val="302F2F"/>
                <w:kern w:val="0"/>
                <w:sz w:val="22"/>
                <w:szCs w:val="22"/>
              </w:rPr>
              <w:t>招生科类</w:t>
            </w:r>
          </w:p>
        </w:tc>
        <w:tc>
          <w:tcPr>
            <w:tcW w:w="313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b/>
                <w:bCs/>
                <w:color w:val="302F2F"/>
                <w:kern w:val="0"/>
                <w:sz w:val="22"/>
                <w:szCs w:val="22"/>
              </w:rPr>
            </w:pPr>
            <w:r>
              <w:rPr>
                <w:rFonts w:hint="eastAsia" w:ascii="仿宋" w:hAnsi="仿宋" w:eastAsia="仿宋" w:cs="仿宋"/>
                <w:b/>
                <w:bCs/>
                <w:color w:val="302F2F"/>
                <w:kern w:val="0"/>
                <w:sz w:val="22"/>
                <w:szCs w:val="22"/>
              </w:rPr>
              <w:t>入学统考科目</w:t>
            </w:r>
          </w:p>
        </w:tc>
      </w:tr>
      <w:tr>
        <w:tblPrEx>
          <w:tblCellMar>
            <w:top w:w="15" w:type="dxa"/>
            <w:left w:w="15" w:type="dxa"/>
            <w:bottom w:w="15" w:type="dxa"/>
            <w:right w:w="15" w:type="dxa"/>
          </w:tblCellMar>
        </w:tblPrEx>
        <w:trPr>
          <w:trHeight w:val="340"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w:t>
            </w:r>
          </w:p>
        </w:tc>
        <w:tc>
          <w:tcPr>
            <w:tcW w:w="1840"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学前教育</w:t>
            </w:r>
          </w:p>
        </w:tc>
        <w:tc>
          <w:tcPr>
            <w:tcW w:w="226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509"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文史/理工类</w:t>
            </w:r>
          </w:p>
        </w:tc>
        <w:tc>
          <w:tcPr>
            <w:tcW w:w="3135"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语文、数学、外语、史地/理化</w:t>
            </w:r>
          </w:p>
        </w:tc>
      </w:tr>
      <w:tr>
        <w:tblPrEx>
          <w:tblCellMar>
            <w:top w:w="15" w:type="dxa"/>
            <w:left w:w="15" w:type="dxa"/>
            <w:bottom w:w="15" w:type="dxa"/>
            <w:right w:w="15" w:type="dxa"/>
          </w:tblCellMar>
        </w:tblPrEx>
        <w:trPr>
          <w:trHeight w:val="340" w:hRule="atLeast"/>
          <w:jc w:val="center"/>
        </w:trPr>
        <w:tc>
          <w:tcPr>
            <w:tcW w:w="705"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2</w:t>
            </w:r>
          </w:p>
        </w:tc>
        <w:tc>
          <w:tcPr>
            <w:tcW w:w="1840"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会计学</w:t>
            </w:r>
          </w:p>
        </w:tc>
        <w:tc>
          <w:tcPr>
            <w:tcW w:w="226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50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313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r>
    </w:tbl>
    <w:p>
      <w:pPr>
        <w:spacing w:line="480" w:lineRule="exact"/>
        <w:jc w:val="center"/>
        <w:rPr>
          <w:rFonts w:hint="eastAsia" w:ascii="黑体" w:hAnsi="黑体" w:eastAsia="黑体" w:cs="黑体"/>
          <w:b/>
          <w:bCs/>
          <w:color w:val="302F2F"/>
          <w:kern w:val="0"/>
          <w:sz w:val="28"/>
          <w:szCs w:val="28"/>
        </w:rPr>
      </w:pPr>
      <w:r>
        <w:rPr>
          <w:rFonts w:hint="eastAsia" w:ascii="黑体" w:hAnsi="黑体" w:eastAsia="黑体" w:cs="黑体"/>
          <w:b/>
          <w:bCs/>
          <w:color w:val="302F2F"/>
          <w:kern w:val="0"/>
          <w:sz w:val="28"/>
          <w:szCs w:val="28"/>
        </w:rPr>
        <w:t>高起专（学制2.5年）</w:t>
      </w:r>
    </w:p>
    <w:tbl>
      <w:tblPr>
        <w:tblStyle w:val="6"/>
        <w:tblW w:w="9439" w:type="dxa"/>
        <w:jc w:val="center"/>
        <w:tblLayout w:type="fixed"/>
        <w:tblCellMar>
          <w:top w:w="15" w:type="dxa"/>
          <w:left w:w="15" w:type="dxa"/>
          <w:bottom w:w="15" w:type="dxa"/>
          <w:right w:w="15" w:type="dxa"/>
        </w:tblCellMar>
      </w:tblPr>
      <w:tblGrid>
        <w:gridCol w:w="704"/>
        <w:gridCol w:w="2525"/>
        <w:gridCol w:w="1785"/>
        <w:gridCol w:w="1589"/>
        <w:gridCol w:w="2836"/>
      </w:tblGrid>
      <w:tr>
        <w:tblPrEx>
          <w:tblCellMar>
            <w:top w:w="15" w:type="dxa"/>
            <w:left w:w="15" w:type="dxa"/>
            <w:bottom w:w="15" w:type="dxa"/>
            <w:right w:w="15" w:type="dxa"/>
          </w:tblCellMar>
        </w:tblPrEx>
        <w:trPr>
          <w:trHeight w:val="340" w:hRule="atLeast"/>
          <w:jc w:val="center"/>
        </w:trPr>
        <w:tc>
          <w:tcPr>
            <w:tcW w:w="704" w:type="dxa"/>
            <w:tcBorders>
              <w:top w:val="single" w:color="000000" w:sz="8" w:space="0"/>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序号</w:t>
            </w:r>
          </w:p>
        </w:tc>
        <w:tc>
          <w:tcPr>
            <w:tcW w:w="252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专业名称</w:t>
            </w:r>
          </w:p>
        </w:tc>
        <w:tc>
          <w:tcPr>
            <w:tcW w:w="1785"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学费（元/年）</w:t>
            </w:r>
          </w:p>
        </w:tc>
        <w:tc>
          <w:tcPr>
            <w:tcW w:w="1589"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招生科类</w:t>
            </w:r>
          </w:p>
        </w:tc>
        <w:tc>
          <w:tcPr>
            <w:tcW w:w="2836" w:type="dxa"/>
            <w:tcBorders>
              <w:top w:val="single" w:color="000000" w:sz="8" w:space="0"/>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入学统考科目</w:t>
            </w:r>
          </w:p>
        </w:tc>
      </w:tr>
      <w:tr>
        <w:tblPrEx>
          <w:tblCellMar>
            <w:top w:w="15" w:type="dxa"/>
            <w:left w:w="15" w:type="dxa"/>
            <w:bottom w:w="15" w:type="dxa"/>
            <w:right w:w="15" w:type="dxa"/>
          </w:tblCellMar>
        </w:tblPrEx>
        <w:trPr>
          <w:trHeight w:val="340"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1</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大数据与会计</w:t>
            </w:r>
          </w:p>
        </w:tc>
        <w:tc>
          <w:tcPr>
            <w:tcW w:w="1785"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589"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文史/理工类</w:t>
            </w:r>
          </w:p>
        </w:tc>
        <w:tc>
          <w:tcPr>
            <w:tcW w:w="2836"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语文、数学、外语</w:t>
            </w:r>
          </w:p>
        </w:tc>
      </w:tr>
      <w:tr>
        <w:tblPrEx>
          <w:tblCellMar>
            <w:top w:w="15" w:type="dxa"/>
            <w:left w:w="15" w:type="dxa"/>
            <w:bottom w:w="15" w:type="dxa"/>
            <w:right w:w="15" w:type="dxa"/>
          </w:tblCellMar>
        </w:tblPrEx>
        <w:trPr>
          <w:trHeight w:val="340"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2</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工商企业管理</w:t>
            </w:r>
          </w:p>
        </w:tc>
        <w:tc>
          <w:tcPr>
            <w:tcW w:w="178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1589" w:type="dxa"/>
            <w:vMerge w:val="continue"/>
            <w:tcBorders>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2836" w:type="dxa"/>
            <w:vMerge w:val="continue"/>
            <w:tcBorders>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3</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学前教育</w:t>
            </w:r>
          </w:p>
        </w:tc>
        <w:tc>
          <w:tcPr>
            <w:tcW w:w="178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58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2836" w:type="dxa"/>
            <w:vMerge w:val="continue"/>
            <w:tcBorders>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4</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电气自动化技术</w:t>
            </w:r>
          </w:p>
        </w:tc>
        <w:tc>
          <w:tcPr>
            <w:tcW w:w="1785"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lang w:val="en-US" w:eastAsia="zh-CN"/>
              </w:rPr>
            </w:pPr>
            <w:r>
              <w:rPr>
                <w:rFonts w:hint="eastAsia" w:ascii="仿宋" w:hAnsi="仿宋" w:eastAsia="仿宋" w:cs="仿宋"/>
                <w:color w:val="302F2F"/>
                <w:kern w:val="0"/>
                <w:sz w:val="22"/>
                <w:szCs w:val="22"/>
                <w:lang w:val="en-US" w:eastAsia="zh-CN"/>
              </w:rPr>
              <w:t>2600</w:t>
            </w:r>
          </w:p>
        </w:tc>
        <w:tc>
          <w:tcPr>
            <w:tcW w:w="1589" w:type="dxa"/>
            <w:vMerge w:val="restart"/>
            <w:tcBorders>
              <w:top w:val="nil"/>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理工类</w:t>
            </w:r>
          </w:p>
        </w:tc>
        <w:tc>
          <w:tcPr>
            <w:tcW w:w="2836" w:type="dxa"/>
            <w:vMerge w:val="continue"/>
            <w:tcBorders>
              <w:left w:val="nil"/>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r>
      <w:tr>
        <w:tblPrEx>
          <w:tblCellMar>
            <w:top w:w="15" w:type="dxa"/>
            <w:left w:w="15" w:type="dxa"/>
            <w:bottom w:w="15" w:type="dxa"/>
            <w:right w:w="15" w:type="dxa"/>
          </w:tblCellMar>
        </w:tblPrEx>
        <w:trPr>
          <w:trHeight w:val="340" w:hRule="atLeast"/>
          <w:jc w:val="center"/>
        </w:trPr>
        <w:tc>
          <w:tcPr>
            <w:tcW w:w="704" w:type="dxa"/>
            <w:tcBorders>
              <w:top w:val="nil"/>
              <w:left w:val="single" w:color="000000" w:sz="8" w:space="0"/>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5</w:t>
            </w:r>
          </w:p>
        </w:tc>
        <w:tc>
          <w:tcPr>
            <w:tcW w:w="2525" w:type="dxa"/>
            <w:tcBorders>
              <w:top w:val="nil"/>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r>
              <w:rPr>
                <w:rFonts w:hint="eastAsia" w:ascii="仿宋" w:hAnsi="仿宋" w:eastAsia="仿宋" w:cs="仿宋"/>
                <w:color w:val="302F2F"/>
                <w:kern w:val="0"/>
                <w:sz w:val="22"/>
                <w:szCs w:val="22"/>
              </w:rPr>
              <w:t>机械制造及自动化</w:t>
            </w:r>
          </w:p>
        </w:tc>
        <w:tc>
          <w:tcPr>
            <w:tcW w:w="1785"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1589"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c>
          <w:tcPr>
            <w:tcW w:w="2836" w:type="dxa"/>
            <w:vMerge w:val="continue"/>
            <w:tcBorders>
              <w:left w:val="nil"/>
              <w:bottom w:val="single" w:color="000000" w:sz="8" w:space="0"/>
              <w:right w:val="single" w:color="000000" w:sz="8" w:space="0"/>
            </w:tcBorders>
            <w:tcMar>
              <w:top w:w="0" w:type="dxa"/>
              <w:left w:w="95" w:type="dxa"/>
              <w:bottom w:w="0" w:type="dxa"/>
              <w:right w:w="95" w:type="dxa"/>
            </w:tcMar>
            <w:vAlign w:val="center"/>
          </w:tcPr>
          <w:p>
            <w:pPr>
              <w:widowControl/>
              <w:spacing w:line="320" w:lineRule="exact"/>
              <w:jc w:val="center"/>
              <w:rPr>
                <w:rFonts w:hint="eastAsia" w:ascii="仿宋" w:hAnsi="仿宋" w:eastAsia="仿宋" w:cs="仿宋"/>
                <w:color w:val="302F2F"/>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2"/>
          <w:szCs w:val="22"/>
        </w:rPr>
      </w:pPr>
      <w:r>
        <w:rPr>
          <w:rFonts w:hint="eastAsia" w:ascii="仿宋" w:hAnsi="仿宋" w:eastAsia="仿宋" w:cs="仿宋"/>
          <w:sz w:val="22"/>
          <w:szCs w:val="22"/>
        </w:rPr>
        <w:t>注：1.招生专业如有变化，以山东省教育招生考试院公布内容为准。</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2.入学考试每科满分150分，满分450分，高起本满分600分。</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3.高起专学制2.5年</w:t>
      </w:r>
      <w:r>
        <w:rPr>
          <w:rFonts w:hint="eastAsia" w:ascii="仿宋" w:hAnsi="仿宋" w:eastAsia="仿宋" w:cs="仿宋"/>
          <w:sz w:val="22"/>
          <w:szCs w:val="22"/>
          <w:lang w:eastAsia="zh-CN"/>
        </w:rPr>
        <w:t>、</w:t>
      </w:r>
      <w:r>
        <w:rPr>
          <w:rFonts w:hint="eastAsia" w:ascii="仿宋" w:hAnsi="仿宋" w:eastAsia="仿宋" w:cs="仿宋"/>
          <w:sz w:val="22"/>
          <w:szCs w:val="22"/>
        </w:rPr>
        <w:t>专升本学制2.5年，学籍注册后3.5年有效；高起本学制5年，学籍注册后6年有效。</w:t>
      </w:r>
    </w:p>
    <w:p>
      <w:pPr>
        <w:jc w:val="center"/>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学校简介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 w:val="24"/>
          <w:szCs w:val="24"/>
          <w:lang w:eastAsia="zh-CN"/>
        </w:rPr>
      </w:pPr>
      <w:r>
        <w:drawing>
          <wp:anchor distT="0" distB="0" distL="114300" distR="114300" simplePos="0" relativeHeight="251664384" behindDoc="0" locked="0" layoutInCell="1" allowOverlap="1">
            <wp:simplePos x="0" y="0"/>
            <wp:positionH relativeFrom="column">
              <wp:posOffset>2729865</wp:posOffset>
            </wp:positionH>
            <wp:positionV relativeFrom="paragraph">
              <wp:posOffset>408940</wp:posOffset>
            </wp:positionV>
            <wp:extent cx="3302000" cy="3238500"/>
            <wp:effectExtent l="0" t="0" r="1270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clrChange>
                        <a:clrFrom>
                          <a:srgbClr val="FFFFFF">
                            <a:alpha val="100000"/>
                          </a:srgbClr>
                        </a:clrFrom>
                        <a:clrTo>
                          <a:srgbClr val="FFFFFF">
                            <a:alpha val="100000"/>
                            <a:alpha val="0"/>
                          </a:srgbClr>
                        </a:clrTo>
                      </a:clrChange>
                    </a:blip>
                    <a:srcRect l="15723" r="14335"/>
                    <a:stretch>
                      <a:fillRect/>
                    </a:stretch>
                  </pic:blipFill>
                  <pic:spPr>
                    <a:xfrm>
                      <a:off x="0" y="0"/>
                      <a:ext cx="3302000" cy="3238500"/>
                    </a:xfrm>
                    <a:prstGeom prst="rect">
                      <a:avLst/>
                    </a:prstGeom>
                    <a:noFill/>
                    <a:ln>
                      <a:noFill/>
                    </a:ln>
                  </pic:spPr>
                </pic:pic>
              </a:graphicData>
            </a:graphic>
          </wp:anchor>
        </w:drawing>
      </w:r>
      <w:r>
        <w:rPr>
          <w:rFonts w:hint="eastAsia" w:ascii="仿宋" w:hAnsi="仿宋" w:eastAsia="仿宋" w:cs="仿宋"/>
          <w:sz w:val="24"/>
          <w:szCs w:val="24"/>
          <w:lang w:eastAsia="zh-CN"/>
        </w:rPr>
        <w:t>潍坊学院是教育部批准建立的一所山东省属全日制综合性普通本科高校，坐落在世界著名的风筝之都、全国文明城市——山东潍坊。是省应用型人才培养特色名校立项建设单位、省硕士学位授予立项建设A类单位、省应用型本科高校建设首批支持单位、省文明校园，是省教育厅与潍坊市人民政府共建高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学校现占地1543亩（103万平方米），校舍建筑面积84.3万平方米，馆藏图书</w:t>
      </w:r>
      <w:r>
        <w:rPr>
          <w:rFonts w:hint="eastAsia" w:ascii="仿宋" w:hAnsi="仿宋" w:eastAsia="仿宋" w:cs="仿宋"/>
          <w:sz w:val="24"/>
          <w:szCs w:val="24"/>
          <w:lang w:val="en-US" w:eastAsia="zh-CN"/>
        </w:rPr>
        <w:t>320.93</w:t>
      </w:r>
      <w:r>
        <w:rPr>
          <w:rFonts w:hint="eastAsia" w:ascii="仿宋" w:hAnsi="仿宋" w:eastAsia="仿宋" w:cs="仿宋"/>
          <w:sz w:val="24"/>
          <w:szCs w:val="24"/>
          <w:lang w:eastAsia="zh-CN"/>
        </w:rPr>
        <w:t>万册、数字资源42.5TB。现有教职工21</w:t>
      </w:r>
      <w:r>
        <w:rPr>
          <w:rFonts w:hint="eastAsia" w:ascii="仿宋" w:hAnsi="仿宋" w:eastAsia="仿宋" w:cs="仿宋"/>
          <w:sz w:val="24"/>
          <w:szCs w:val="24"/>
          <w:lang w:val="en-US" w:eastAsia="zh-CN"/>
        </w:rPr>
        <w:t>34</w:t>
      </w:r>
      <w:r>
        <w:rPr>
          <w:rFonts w:hint="eastAsia" w:ascii="仿宋" w:hAnsi="仿宋" w:eastAsia="仿宋" w:cs="仿宋"/>
          <w:sz w:val="24"/>
          <w:szCs w:val="24"/>
          <w:lang w:eastAsia="zh-CN"/>
        </w:rPr>
        <w:t>人，其中专任教师15</w:t>
      </w:r>
      <w:r>
        <w:rPr>
          <w:rFonts w:hint="eastAsia" w:ascii="仿宋" w:hAnsi="仿宋" w:eastAsia="仿宋" w:cs="仿宋"/>
          <w:sz w:val="24"/>
          <w:szCs w:val="24"/>
          <w:lang w:val="en-US" w:eastAsia="zh-CN"/>
        </w:rPr>
        <w:t>69</w:t>
      </w:r>
      <w:r>
        <w:rPr>
          <w:rFonts w:hint="eastAsia" w:ascii="仿宋" w:hAnsi="仿宋" w:eastAsia="仿宋" w:cs="仿宋"/>
          <w:sz w:val="24"/>
          <w:szCs w:val="24"/>
          <w:lang w:eastAsia="zh-CN"/>
        </w:rPr>
        <w:t>人，高级职称人员</w:t>
      </w:r>
      <w:r>
        <w:rPr>
          <w:rFonts w:hint="eastAsia" w:ascii="仿宋" w:hAnsi="仿宋" w:eastAsia="仿宋" w:cs="仿宋"/>
          <w:sz w:val="24"/>
          <w:szCs w:val="24"/>
          <w:lang w:val="en-US" w:eastAsia="zh-CN"/>
        </w:rPr>
        <w:t>690</w:t>
      </w:r>
      <w:r>
        <w:rPr>
          <w:rFonts w:hint="eastAsia" w:ascii="仿宋" w:hAnsi="仿宋" w:eastAsia="仿宋" w:cs="仿宋"/>
          <w:sz w:val="24"/>
          <w:szCs w:val="24"/>
          <w:lang w:eastAsia="zh-CN"/>
        </w:rPr>
        <w:t>人，博士生、硕士生导师1</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0余人。聘任“两院院士”刘以训、钱逸泰、许绍燮、束怀瑞、麦康森、傅廷栋、姚建铨、潘建伟，诺贝尔文学奖获得者莫言等知名专家学者担任学校特聘（兼职）教授或专业委员会负责人。现设2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个教学单位、7</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个本科专业，涉及理、工、文、经、管、农、法、历史、教育和艺术10大学科门类。有国家级特色专业和教育部综合改革试点专业3个，省级一流专业建设点13个，校外教学实践基地</w:t>
      </w:r>
      <w:r>
        <w:rPr>
          <w:rFonts w:hint="eastAsia" w:ascii="仿宋" w:hAnsi="仿宋" w:eastAsia="仿宋" w:cs="仿宋"/>
          <w:sz w:val="24"/>
          <w:szCs w:val="24"/>
          <w:lang w:val="en-US" w:eastAsia="zh-CN"/>
        </w:rPr>
        <w:t>708</w:t>
      </w:r>
      <w:r>
        <w:rPr>
          <w:rFonts w:hint="eastAsia" w:ascii="仿宋" w:hAnsi="仿宋" w:eastAsia="仿宋" w:cs="仿宋"/>
          <w:sz w:val="24"/>
          <w:szCs w:val="24"/>
          <w:lang w:eastAsia="zh-CN"/>
        </w:rPr>
        <w:t>个，与潍柴、歌尔、天瑞重工等企业合作建设5个现代产业学院。建有国内同类院校领先水平的校园网，是中国教育科研网（CERNET）潍坊地区网络中心、全国教育信息化理事会副理事长单位、山东省首批研究生联合培养基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继续教育学院是学校成人学历教育和非学历教育的职能部门，负责统筹全校办学资源和师资优势，面向社会举办函授教育、电大开放教育、各类培训等各类继续教育项目。函授教育开办以来，主动对接山东新时代现代化强省和潍坊新时代现代化强市建设，深入推进人才培养、科技支持、文化教育和高端智库等服务，以服务地方经济社会发展为己任，积极推进产学研合作，多年来为各行各业培养了1</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余万名人才，为地方经济建设和各项事业发展做出了积极贡献，人才培养质量得到用人单位和社会各界的广泛</w:t>
      </w:r>
      <w:r>
        <w:rPr>
          <w:rFonts w:hint="eastAsia" w:ascii="仿宋" w:hAnsi="仿宋" w:eastAsia="仿宋" w:cs="仿宋"/>
          <w:sz w:val="24"/>
          <w:szCs w:val="24"/>
        </w:rPr>
        <w:t>赞誉。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黑体" w:hAnsi="黑体" w:eastAsia="黑体" w:cs="黑体"/>
          <w:b/>
          <w:bCs/>
          <w:sz w:val="18"/>
          <w:szCs w:val="18"/>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rPr>
        <w:t>招生</w:t>
      </w:r>
      <w:r>
        <w:rPr>
          <w:rFonts w:hint="eastAsia" w:ascii="黑体" w:hAnsi="黑体" w:eastAsia="黑体" w:cs="黑体"/>
          <w:b/>
          <w:bCs/>
          <w:sz w:val="24"/>
          <w:szCs w:val="24"/>
          <w:lang w:eastAsia="zh-CN"/>
        </w:rPr>
        <w:t>咨询</w:t>
      </w:r>
      <w:r>
        <w:rPr>
          <w:rFonts w:hint="eastAsia" w:ascii="黑体" w:hAnsi="黑体" w:eastAsia="黑体" w:cs="黑体"/>
          <w:b/>
          <w:bCs/>
          <w:sz w:val="24"/>
          <w:szCs w:val="24"/>
        </w:rPr>
        <w:t>：</w:t>
      </w:r>
      <w:r>
        <w:rPr>
          <w:rFonts w:ascii="黑体" w:hAnsi="黑体" w:eastAsia="黑体" w:cs="黑体"/>
          <w:b/>
          <w:bCs/>
          <w:sz w:val="24"/>
          <w:szCs w:val="24"/>
        </w:rPr>
        <w:t>0536-8785515</w:t>
      </w:r>
      <w:r>
        <w:rPr>
          <w:rFonts w:hint="eastAsia" w:ascii="黑体" w:hAnsi="黑体" w:eastAsia="黑体" w:cs="黑体"/>
          <w:b/>
          <w:bCs/>
          <w:sz w:val="24"/>
          <w:szCs w:val="24"/>
          <w:lang w:val="en-US" w:eastAsia="zh-CN"/>
        </w:rPr>
        <w:t xml:space="preserve"> 　8785759　　</w:t>
      </w:r>
      <w:r>
        <w:rPr>
          <w:rFonts w:hint="eastAsia" w:ascii="黑体" w:hAnsi="黑体" w:eastAsia="黑体" w:cs="黑体"/>
          <w:b/>
          <w:bCs/>
          <w:sz w:val="24"/>
          <w:szCs w:val="24"/>
        </w:rPr>
        <w:t>监督</w:t>
      </w:r>
      <w:r>
        <w:rPr>
          <w:rFonts w:hint="eastAsia" w:ascii="黑体" w:hAnsi="黑体" w:eastAsia="黑体" w:cs="黑体"/>
          <w:b/>
          <w:bCs/>
          <w:sz w:val="24"/>
          <w:szCs w:val="24"/>
          <w:lang w:eastAsia="zh-CN"/>
        </w:rPr>
        <w:t>投诉：</w:t>
      </w:r>
      <w:r>
        <w:rPr>
          <w:rFonts w:hint="eastAsia" w:ascii="黑体" w:hAnsi="黑体" w:eastAsia="黑体" w:cs="黑体"/>
          <w:b/>
          <w:bCs/>
          <w:sz w:val="24"/>
          <w:szCs w:val="24"/>
          <w:lang w:val="en-US" w:eastAsia="zh-CN"/>
        </w:rPr>
        <w:t>13287660058</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黑体" w:hAnsi="黑体" w:eastAsia="黑体" w:cs="黑体"/>
          <w:b/>
          <w:bCs/>
          <w:sz w:val="24"/>
          <w:szCs w:val="24"/>
        </w:rPr>
      </w:pPr>
      <w:r>
        <w:rPr>
          <w:rFonts w:hint="eastAsia" w:ascii="黑体" w:hAnsi="黑体" w:eastAsia="黑体" w:cs="黑体"/>
          <w:b/>
          <w:bCs/>
          <w:sz w:val="24"/>
          <w:szCs w:val="24"/>
        </w:rPr>
        <w:t>继续教育学院网址：</w:t>
      </w:r>
      <w:r>
        <w:rPr>
          <w:rFonts w:ascii="黑体" w:hAnsi="黑体" w:eastAsia="黑体" w:cs="黑体"/>
          <w:b/>
          <w:bCs/>
          <w:sz w:val="24"/>
          <w:szCs w:val="24"/>
        </w:rPr>
        <w:t>http://jxjy.wfu.edu.cn</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rPr>
        <w:t>教学管理平台网址：</w:t>
      </w:r>
      <w:r>
        <w:rPr>
          <w:rFonts w:ascii="黑体" w:hAnsi="黑体" w:eastAsia="黑体" w:cs="黑体"/>
          <w:b/>
          <w:bCs/>
          <w:sz w:val="24"/>
          <w:szCs w:val="24"/>
        </w:rPr>
        <w:fldChar w:fldCharType="begin"/>
      </w:r>
      <w:r>
        <w:rPr>
          <w:rFonts w:ascii="黑体" w:hAnsi="黑体" w:eastAsia="黑体" w:cs="黑体"/>
          <w:b/>
          <w:bCs/>
          <w:sz w:val="24"/>
          <w:szCs w:val="24"/>
        </w:rPr>
        <w:instrText xml:space="preserve"> HYPERLINK "http://wfxy.sdcen.cn" </w:instrText>
      </w:r>
      <w:r>
        <w:rPr>
          <w:rFonts w:ascii="黑体" w:hAnsi="黑体" w:eastAsia="黑体" w:cs="黑体"/>
          <w:b/>
          <w:bCs/>
          <w:sz w:val="24"/>
          <w:szCs w:val="24"/>
        </w:rPr>
        <w:fldChar w:fldCharType="separate"/>
      </w:r>
      <w:r>
        <w:rPr>
          <w:rStyle w:val="8"/>
          <w:rFonts w:ascii="黑体" w:hAnsi="黑体" w:eastAsia="黑体" w:cs="黑体"/>
          <w:b/>
          <w:bCs/>
          <w:sz w:val="24"/>
          <w:szCs w:val="24"/>
        </w:rPr>
        <w:t>http://wfxy.sdcen.cn</w:t>
      </w:r>
      <w:r>
        <w:rPr>
          <w:rFonts w:ascii="黑体" w:hAnsi="黑体" w:eastAsia="黑体" w:cs="黑体"/>
          <w:b/>
          <w:bCs/>
          <w:sz w:val="24"/>
          <w:szCs w:val="24"/>
        </w:rPr>
        <w:fldChar w:fldCharType="end"/>
      </w:r>
      <w:r>
        <w:rPr>
          <w:rFonts w:hint="eastAsia" w:ascii="黑体" w:hAnsi="黑体" w:eastAsia="黑体" w:cs="黑体"/>
          <w:b/>
          <w:bCs/>
          <w:sz w:val="24"/>
          <w:szCs w:val="24"/>
          <w:lang w:val="en-US" w:eastAsia="zh-CN"/>
        </w:rPr>
        <w:t xml:space="preserve">     </w:t>
      </w:r>
      <w:r>
        <w:rPr>
          <w:rFonts w:hint="eastAsia" w:ascii="黑体" w:hAnsi="黑体" w:eastAsia="黑体" w:cs="黑体"/>
          <w:b/>
          <w:bCs/>
          <w:sz w:val="24"/>
          <w:szCs w:val="24"/>
          <w:lang w:eastAsia="zh-CN"/>
        </w:rPr>
        <w:t>邮箱：</w:t>
      </w:r>
      <w:r>
        <w:rPr>
          <w:rFonts w:hint="eastAsia" w:ascii="黑体" w:hAnsi="黑体" w:eastAsia="黑体" w:cs="黑体"/>
          <w:b/>
          <w:bCs/>
          <w:sz w:val="24"/>
          <w:szCs w:val="24"/>
          <w:lang w:val="en-US" w:eastAsia="zh-CN"/>
        </w:rPr>
        <w:t>wfujxjy@126.com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黑体" w:hAnsi="黑体" w:eastAsia="黑体" w:cs="黑体"/>
          <w:b/>
          <w:bCs/>
          <w:sz w:val="24"/>
          <w:szCs w:val="24"/>
        </w:rPr>
        <w:t>地址：潍坊市卧龙西街</w:t>
      </w:r>
      <w:r>
        <w:rPr>
          <w:rFonts w:ascii="黑体" w:hAnsi="黑体" w:eastAsia="黑体" w:cs="黑体"/>
          <w:b/>
          <w:bCs/>
          <w:sz w:val="24"/>
          <w:szCs w:val="24"/>
        </w:rPr>
        <w:t>2829</w:t>
      </w:r>
      <w:r>
        <w:rPr>
          <w:rFonts w:hint="eastAsia" w:ascii="黑体" w:hAnsi="黑体" w:eastAsia="黑体" w:cs="黑体"/>
          <w:b/>
          <w:bCs/>
          <w:sz w:val="24"/>
          <w:szCs w:val="24"/>
        </w:rPr>
        <w:t>号</w:t>
      </w:r>
      <w:r>
        <w:rPr>
          <w:rFonts w:hint="eastAsia" w:ascii="黑体" w:hAnsi="黑体" w:eastAsia="黑体" w:cs="黑体"/>
          <w:b/>
          <w:bCs/>
          <w:sz w:val="24"/>
          <w:szCs w:val="24"/>
          <w:lang w:val="en-US" w:eastAsia="zh-CN"/>
        </w:rPr>
        <w:t>215招生办公室</w:t>
      </w:r>
      <w:r>
        <w:rPr>
          <w:rFonts w:hint="eastAsia" w:ascii="黑体" w:hAnsi="黑体" w:eastAsia="黑体" w:cs="黑体"/>
          <w:b/>
          <w:bCs/>
          <w:sz w:val="24"/>
          <w:szCs w:val="24"/>
        </w:rPr>
        <w:t>（邮编</w:t>
      </w:r>
      <w:r>
        <w:rPr>
          <w:rFonts w:ascii="黑体" w:hAnsi="黑体" w:eastAsia="黑体" w:cs="黑体"/>
          <w:b/>
          <w:bCs/>
          <w:sz w:val="24"/>
          <w:szCs w:val="24"/>
        </w:rPr>
        <w:t>261021</w:t>
      </w:r>
      <w:r>
        <w:rPr>
          <w:rFonts w:hint="eastAsia" w:ascii="黑体" w:hAnsi="黑体" w:eastAsia="黑体" w:cs="黑体"/>
          <w:b/>
          <w:bCs/>
          <w:sz w:val="24"/>
          <w:szCs w:val="24"/>
        </w:rPr>
        <w:t>）</w:t>
      </w:r>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column">
            <wp:posOffset>-895350</wp:posOffset>
          </wp:positionH>
          <wp:positionV relativeFrom="paragraph">
            <wp:posOffset>-533400</wp:posOffset>
          </wp:positionV>
          <wp:extent cx="7586345" cy="10685780"/>
          <wp:effectExtent l="0" t="0" r="14605" b="127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
                  <a:stretch>
                    <a:fillRect/>
                  </a:stretch>
                </pic:blipFill>
                <pic:spPr>
                  <a:xfrm>
                    <a:off x="0" y="0"/>
                    <a:ext cx="7586345" cy="106857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MjMyZjdjNjRlNDA5YzZmMGYwMzk2ZmFiMWFlNDcifQ=="/>
  </w:docVars>
  <w:rsids>
    <w:rsidRoot w:val="38C23E3A"/>
    <w:rsid w:val="03D07436"/>
    <w:rsid w:val="04B86C3F"/>
    <w:rsid w:val="054E67A9"/>
    <w:rsid w:val="099F15C3"/>
    <w:rsid w:val="0A971B45"/>
    <w:rsid w:val="17A456BA"/>
    <w:rsid w:val="1B46214E"/>
    <w:rsid w:val="2E8D3CC5"/>
    <w:rsid w:val="38C23E3A"/>
    <w:rsid w:val="402B1087"/>
    <w:rsid w:val="41C67271"/>
    <w:rsid w:val="47C175A2"/>
    <w:rsid w:val="60DC4DDF"/>
    <w:rsid w:val="65FC6542"/>
    <w:rsid w:val="6FE75AA4"/>
    <w:rsid w:val="71A569D3"/>
    <w:rsid w:val="72FC3A5A"/>
    <w:rsid w:val="78A5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2110</Words>
  <Characters>2270</Characters>
  <Lines>0</Lines>
  <Paragraphs>0</Paragraphs>
  <TotalTime>2</TotalTime>
  <ScaleCrop>false</ScaleCrop>
  <LinksUpToDate>false</LinksUpToDate>
  <CharactersWithSpaces>2281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2023-05-12T09:34:00Z</dcterms:created>
  <dc:creator>文静</dc:creator>
  <cp:lastModifiedBy>Administrator</cp:lastModifiedBy>
  <dcterms:modified xsi:type="dcterms:W3CDTF">2024-08-05T09:47:54Z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66C65EEDA066478298D31A16924A661F_13</vt:lpwstr>
  </property>
</Properties>
</file>